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sz w:val="20"/>
          <w:szCs w:val="20"/>
        </w:rPr>
      </w:pPr>
      <w:bookmarkStart w:colFirst="0" w:colLast="0" w:name="_heading=h.gjdgxs" w:id="0"/>
      <w:bookmarkEnd w:id="0"/>
      <w:r w:rsidDel="00000000" w:rsidR="00000000" w:rsidRPr="00000000">
        <w:rPr>
          <w:rFonts w:ascii="Arial" w:cs="Arial" w:eastAsia="Arial" w:hAnsi="Arial"/>
          <w:b w:val="1"/>
          <w:sz w:val="36"/>
          <w:szCs w:val="36"/>
          <w:rtl w:val="0"/>
        </w:rPr>
        <w:t xml:space="preserve">Joint Schedule 6 (Key Subcontractors)</w:t>
      </w:r>
      <w:r w:rsidDel="00000000" w:rsidR="00000000" w:rsidRPr="00000000">
        <w:rPr>
          <w:rtl w:val="0"/>
        </w:rPr>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Restrictions on certain subcontractors</w:t>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entitled to sub-contract its obligations under the Framework Contract to the Key Subcontractors set out in the Framework Award Form. </w:t>
      </w: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entitled to sub-contract its obligations under a Call-Off Contract to Key Subcontractors listed in the Framework Award Form who are specifically nominated in the Order Form.</w:t>
      </w:r>
      <w:r w:rsidDel="00000000" w:rsidR="00000000" w:rsidRPr="00000000">
        <w:rPr>
          <w:rtl w:val="0"/>
        </w:rPr>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during the Contract Period the Supplier wishes to enter into a new Key Sub-contract or replace a Key Subcontractor, it must obtain the prior written consent of CCS and the Buyer and the Supplier shall, at the time of requesting such consent, provide CCS and the Buyer with the information detailed in Paragraph 1.4.  The decision of CCS and the Buyer to consent or not will not be unreasonably withheld or delayed.  Where CCS consents to the appointment of a new Key Subcontractor then they will be added to section 18 of the Framework Award Form.  Where the Buyer consents to the appointment of a new Key Subcontractor then they will be added to Key Subcontractor section of the Order Form.  CCS and the Buyer may reasonably withhold their consent to the appointment of a Key Subcontractor if it considers that:</w:t>
      </w: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appointment of a proposed Key Subcontractor may prejudice the provision of the Deliverables or may be contrary to its interests;</w:t>
      </w:r>
    </w:p>
    <w:p w:rsidR="00000000" w:rsidDel="00000000" w:rsidP="00000000" w:rsidRDefault="00000000" w:rsidRPr="00000000" w14:paraId="000000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 is unreliable and/or has not provided reliable goods and or reasonable services to its other customers; and/or</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0" w:right="0" w:hanging="8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 employs unfit persons.</w:t>
      </w:r>
    </w:p>
    <w:p w:rsidR="00000000" w:rsidDel="00000000" w:rsidP="00000000" w:rsidRDefault="00000000" w:rsidRPr="00000000" w14:paraId="00000009">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CCS and the Buyer with the following information in respect of the proposed Key Subcontractor:</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Subcontractor’s name, registered office and company registration number;</w:t>
      </w:r>
    </w:p>
    <w:p w:rsidR="00000000" w:rsidDel="00000000" w:rsidP="00000000" w:rsidRDefault="00000000" w:rsidRPr="00000000" w14:paraId="0000000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scope/description of any Deliverables to be provided by the proposed Key Subcontractor; </w:t>
      </w:r>
    </w:p>
    <w:p w:rsidR="00000000" w:rsidDel="00000000" w:rsidP="00000000" w:rsidRDefault="00000000" w:rsidRPr="00000000" w14:paraId="0000000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proposed Key Subcontractor is an Affiliate of the Supplier, evidence that demonstrates to the reasonable satisfaction of the CCS and the Buyer that the proposed Key Sub-Contract has been agreed on "arm’s-length" terms;</w:t>
      </w:r>
    </w:p>
    <w:p w:rsidR="00000000" w:rsidDel="00000000" w:rsidP="00000000" w:rsidRDefault="00000000" w:rsidRPr="00000000" w14:paraId="0000000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CCS, the Key Sub-Contract price expressed as a percentage of the total projected Framework Price over the Framework Contract Period; </w:t>
      </w:r>
    </w:p>
    <w:p w:rsidR="00000000" w:rsidDel="00000000" w:rsidP="00000000" w:rsidRDefault="00000000" w:rsidRPr="00000000" w14:paraId="0000000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Buyer, the Key Sub-Contract price expressed as a percentage of the total projected Charges over the Call Off Contract Period; and</w:t>
      </w:r>
    </w:p>
    <w:p w:rsidR="00000000" w:rsidDel="00000000" w:rsidP="00000000" w:rsidRDefault="00000000" w:rsidRPr="00000000" w14:paraId="0000000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applicable) Credit Rating Threshold (as defined in Joint Schedule 7 (Financial Distress)) of the Key Subcontractor.</w:t>
      </w:r>
    </w:p>
    <w:p w:rsidR="00000000" w:rsidDel="00000000" w:rsidP="00000000" w:rsidRDefault="00000000" w:rsidRPr="00000000" w14:paraId="0000001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requested by CCS and/or the Buyer, within ten (10) Working Days of receipt of the information provided by the Supplier pursuant to Paragraph 1.4, the Supplier shall also provide:</w:t>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copy of the proposed Key Sub-Contract; and </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further information reasonably requested by CCS and/or the Buyer.</w:t>
      </w:r>
    </w:p>
    <w:p w:rsidR="00000000" w:rsidDel="00000000" w:rsidP="00000000" w:rsidRDefault="00000000" w:rsidRPr="00000000" w14:paraId="0000001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each new or replacement Key Sub-Contract shall include: </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provisions which will enable the Supplier to discharge its obligations under the Contracts;</w:t>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right under CRTPA for CCS and the Buyer to enforce any provisions under the Key Sub-Contract which confer a benefit upon CCS and the Buyer respectively;</w:t>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enabling CCS and the Buyer to enforce the Key Sub-Contract as if it were the Supplier; </w:t>
      </w:r>
    </w:p>
    <w:p w:rsidR="00000000" w:rsidDel="00000000" w:rsidP="00000000" w:rsidRDefault="00000000" w:rsidRPr="00000000" w14:paraId="000000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enabling the Supplier to assign, novate or otherwise transfer any of its rights and/or obligations under the Key Sub-Contract to CCS and/or the Buyer; </w:t>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obligations no less onerous on the Key Subcontractor than those imposed on the Supplier under the Framework Contract in respect of:</w:t>
      </w:r>
    </w:p>
    <w:p w:rsidR="00000000" w:rsidDel="00000000" w:rsidP="00000000" w:rsidRDefault="00000000" w:rsidRPr="00000000" w14:paraId="0000001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data protection requirements set out in Clause 14 (Data protection);</w:t>
      </w:r>
    </w:p>
    <w:p w:rsidR="00000000" w:rsidDel="00000000" w:rsidP="00000000" w:rsidRDefault="00000000" w:rsidRPr="00000000" w14:paraId="0000001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FOIA and other access request requirements set out in Clause 16 (When you can share information);</w:t>
      </w:r>
    </w:p>
    <w:p w:rsidR="00000000" w:rsidDel="00000000" w:rsidP="00000000" w:rsidRDefault="00000000" w:rsidRPr="00000000" w14:paraId="0000001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obligation not to embarrass CCS or the Buyer or otherwise bring CCS or the Buyer into disrepute; </w:t>
      </w:r>
    </w:p>
    <w:p w:rsidR="00000000" w:rsidDel="00000000" w:rsidP="00000000" w:rsidRDefault="00000000" w:rsidRPr="00000000" w14:paraId="0000001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keeping of records in respect of the goods and/or services being provided under the Key Sub-Contract, including the maintenance of Open Book Data; and</w:t>
      </w:r>
    </w:p>
    <w:p w:rsidR="00000000" w:rsidDel="00000000" w:rsidP="00000000" w:rsidRDefault="00000000" w:rsidRPr="00000000" w14:paraId="0000001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63" w:right="0" w:hanging="853.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conduct of audits set out in Clause 6 (Record keeping and reporting);</w:t>
      </w:r>
    </w:p>
    <w:p w:rsidR="00000000" w:rsidDel="00000000" w:rsidP="00000000" w:rsidRDefault="00000000" w:rsidRPr="00000000" w14:paraId="0000001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provisions enabling the Supplier to terminate the Key Sub-Contract on notice on terms no more onerous on the Supplier than those imposed on CCS and the Buyer under Clauses 10.4 (When CCS or the Buyer can end this contract) and 10.5 (What happens if the contract ends) of this Contract; and</w:t>
      </w:r>
    </w:p>
    <w:p w:rsidR="00000000" w:rsidDel="00000000" w:rsidP="00000000" w:rsidRDefault="00000000" w:rsidRPr="00000000" w14:paraId="0000001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restricting the ability of the Key Subcontractor to sub-contract all or any part of the provision of the Deliverables provided to the Supplier under the Key Sub-Contract without first seeking the written consent of CCS and the Buyer. </w:t>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5">
    <w:pPr>
      <w:tabs>
        <w:tab w:val="center" w:leader="none" w:pos="4513"/>
        <w:tab w:val="right" w:leader="none" w:pos="9026"/>
      </w:tabs>
      <w:spacing w:after="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6">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28">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9">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RM6284 Costs Lawyer Services 2</w:t>
      <w:tab/>
      <w:t xml:space="preserve">                                           </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B">
    <w:pPr>
      <w:spacing w:after="0" w:line="240" w:lineRule="auto"/>
      <w:jc w:val="both"/>
      <w:rPr>
        <w:rFonts w:ascii="Arial" w:cs="Arial" w:eastAsia="Arial" w:hAnsi="Arial"/>
        <w:color w:val="bfbfbf"/>
        <w:sz w:val="20"/>
        <w:szCs w:val="20"/>
      </w:rPr>
    </w:pPr>
    <w:bookmarkStart w:colFirst="0" w:colLast="0" w:name="_heading=h.tyjcwt" w:id="6"/>
    <w:bookmarkEnd w:id="6"/>
    <w:r w:rsidDel="00000000" w:rsidR="00000000" w:rsidRPr="00000000">
      <w:rPr>
        <w:rFonts w:ascii="Arial" w:cs="Arial" w:eastAsia="Arial" w:hAnsi="Arial"/>
        <w:sz w:val="20"/>
        <w:szCs w:val="20"/>
        <w:rtl w:val="0"/>
      </w:rPr>
      <w:t xml:space="preserve">Model Version: v3.1</w:t>
      <w:tab/>
      <w:tab/>
    </w:r>
    <w:r w:rsidDel="00000000" w:rsidR="00000000" w:rsidRPr="00000000">
      <w:rPr>
        <w:rFonts w:ascii="Arial" w:cs="Arial" w:eastAsia="Arial" w:hAnsi="Arial"/>
        <w:color w:val="bfbfbf"/>
        <w:sz w:val="20"/>
        <w:szCs w:val="20"/>
        <w:rtl w:val="0"/>
      </w:rPr>
      <w:tab/>
      <w:tab/>
    </w:r>
    <w:bookmarkStart w:colFirst="0" w:colLast="0" w:name="bookmark=id.3dy6vkm" w:id="5"/>
    <w:bookmarkEnd w:id="5"/>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6 (Key Subcontractors)</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3Guidance" w:customStyle="1">
    <w:name w:val="GPS L3 Guidance"/>
    <w:basedOn w:val="Normal"/>
    <w:link w:val="GPSL3GuidanceChar"/>
    <w:qFormat w:val="1"/>
    <w:pPr>
      <w:tabs>
        <w:tab w:val="left" w:pos="1985"/>
      </w:tabs>
      <w:adjustRightInd w:val="0"/>
      <w:spacing w:after="120" w:before="120" w:line="240" w:lineRule="auto"/>
      <w:ind w:left="1985"/>
      <w:jc w:val="both"/>
    </w:pPr>
    <w:rPr>
      <w:rFonts w:ascii="Calibri" w:cs="Arial" w:eastAsia="Times New Roman" w:hAnsi="Calibri"/>
      <w:b w:val="1"/>
      <w:i w:val="1"/>
      <w:lang w:eastAsia="zh-CN"/>
    </w:rPr>
  </w:style>
  <w:style w:type="paragraph" w:styleId="GPSL1Schedulenumbered" w:customStyle="1">
    <w:name w:val="GPS L1 Schedule numbered"/>
    <w:basedOn w:val="Normal"/>
    <w:link w:val="GPSL1SchedulenumberedChar1"/>
    <w:qFormat w:val="1"/>
    <w:pPr>
      <w:numPr>
        <w:numId w:val="1"/>
      </w:numPr>
      <w:tabs>
        <w:tab w:val="left" w:pos="851"/>
      </w:tabs>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GPSL1SchedulenumberedChar1" w:customStyle="1">
    <w:name w:val="GPS L1 Schedule numbered Char1"/>
    <w:link w:val="GPSL1Schedulenumbered"/>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3GuidanceChar" w:customStyle="1">
    <w:name w:val="GPS L3 Guidance Char"/>
    <w:link w:val="GPSL3Guidance"/>
    <w:rPr>
      <w:rFonts w:ascii="Calibri" w:cs="Arial" w:eastAsia="Times New Roman" w:hAnsi="Calibri"/>
      <w:b w:val="1"/>
      <w:i w:val="1"/>
      <w:lang w:eastAsia="zh-CN"/>
    </w:rPr>
  </w:style>
  <w:style w:type="paragraph" w:styleId="GPSL1CLAUSEHEADING" w:customStyle="1">
    <w:name w:val="GPS L1 CLAUSE HEADING"/>
    <w:basedOn w:val="Normal"/>
    <w:next w:val="Normal"/>
    <w:qFormat w:val="1"/>
    <w:pPr>
      <w:numPr>
        <w:numId w:val="3"/>
      </w:numPr>
      <w:tabs>
        <w:tab w:val="left" w:pos="142"/>
      </w:tabs>
      <w:adjustRightInd w:val="0"/>
      <w:spacing w:after="240" w:before="120" w:line="240" w:lineRule="auto"/>
      <w:jc w:val="both"/>
      <w:outlineLvl w:val="1"/>
    </w:pPr>
    <w:rPr>
      <w:rFonts w:ascii="Calibri" w:cs="Arial" w:eastAsia="STZhongsong" w:hAnsi="Calibri"/>
      <w:b w:val="1"/>
      <w:caps w:val="1"/>
      <w:lang w:eastAsia="zh-CN"/>
    </w:rPr>
  </w:style>
  <w:style w:type="paragraph" w:styleId="GPSL3numberedclause" w:customStyle="1">
    <w:name w:val="GPS L3 numbered clause"/>
    <w:basedOn w:val="Normal"/>
    <w:link w:val="GPSL3numberedclauseChar"/>
    <w:qFormat w:val="1"/>
    <w:pPr>
      <w:numPr>
        <w:ilvl w:val="2"/>
        <w:numId w:val="3"/>
      </w:numPr>
      <w:tabs>
        <w:tab w:val="left" w:pos="1985"/>
      </w:tabs>
      <w:adjustRightInd w:val="0"/>
      <w:spacing w:after="120" w:before="120" w:line="240" w:lineRule="auto"/>
      <w:jc w:val="both"/>
    </w:pPr>
    <w:rPr>
      <w:rFonts w:ascii="Calibri" w:cs="Arial" w:eastAsia="Times New Roman" w:hAnsi="Calibri"/>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pPr>
  </w:style>
  <w:style w:type="paragraph" w:styleId="GPSL2NumberedBoldHeading" w:customStyle="1">
    <w:name w:val="GPS L2 Numbered Bold Heading"/>
    <w:basedOn w:val="Normal"/>
    <w:link w:val="GPSL2NumberedBoldHeadingChar"/>
    <w:qFormat w:val="1"/>
    <w:pPr>
      <w:numPr>
        <w:ilvl w:val="1"/>
        <w:numId w:val="3"/>
      </w:numPr>
      <w:adjustRightInd w:val="0"/>
      <w:spacing w:after="120" w:before="120" w:line="240" w:lineRule="auto"/>
      <w:ind w:left="936" w:hanging="576"/>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legds2" w:customStyle="1">
    <w:name w:val="legds2"/>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numberedclause" w:customStyle="1">
    <w:name w:val="GPS L2 numbered clause"/>
    <w:basedOn w:val="Normal"/>
    <w:qFormat w:val="1"/>
    <w:pPr>
      <w:tabs>
        <w:tab w:val="left" w:pos="1134"/>
      </w:tabs>
      <w:adjustRightInd w:val="0"/>
      <w:spacing w:after="120" w:before="120" w:line="240" w:lineRule="auto"/>
      <w:ind w:left="1134" w:hanging="567"/>
      <w:jc w:val="both"/>
    </w:pPr>
    <w:rPr>
      <w:rFonts w:ascii="Calibri" w:cs="Arial" w:eastAsia="Times New Roman" w:hAnsi="Calibri"/>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1" w:customStyle="1">
    <w:name w:val="Table Grid1"/>
    <w:basedOn w:val="TableNormal"/>
    <w:next w:val="TableGrid"/>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hOi8ibR0RjR91pbLdyt9ttcwKLA==">AMUW2mU878IRYLaQpDDe39vH2VdWAfHwi+CxRPx98JrSSxRR7mgCkDGEAWnJFj3YzgLAnk/SktjUKB1Ps06W8I/9lw0joicWksIu4mMMgV2g+a+tBjYCQOz4VeXcOv7jqdrJ3AVqYYOOpyDX+XI7Q504+V08oyFsU9No9cC8uk8cmKCs9UbIzvM83z4gd7UuBd/P1BEVkKYhufm0TvRjWnTutcslzI7e04iSY8WwgfP2eDBxkQZGoK5XJPOjiYF2JN9z9SEBMOXu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2019-06-25T22:28:00Z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